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highlight w:val="none"/>
        </w:rPr>
      </w:pPr>
      <w:r>
        <w:rPr>
          <w:rFonts w:eastAsia="华文中宋"/>
          <w:b/>
          <w:sz w:val="30"/>
          <w:szCs w:val="30"/>
          <w:highlight w:val="none"/>
        </w:rPr>
        <w:t>京中医药大学202</w:t>
      </w:r>
      <w:r>
        <w:rPr>
          <w:rFonts w:hint="eastAsia" w:eastAsia="华文中宋"/>
          <w:b/>
          <w:sz w:val="30"/>
          <w:szCs w:val="30"/>
          <w:highlight w:val="none"/>
          <w:lang w:val="en-US" w:eastAsia="zh-CN"/>
        </w:rPr>
        <w:t>4</w:t>
      </w:r>
      <w:r>
        <w:rPr>
          <w:rFonts w:eastAsia="华文中宋"/>
          <w:b/>
          <w:sz w:val="30"/>
          <w:szCs w:val="30"/>
          <w:highlight w:val="none"/>
        </w:rPr>
        <w:t>年度专业技术职务评审资格审查表</w:t>
      </w:r>
    </w:p>
    <w:p>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（★填表前请详细阅读本表的填写说明★）</w:t>
      </w:r>
    </w:p>
    <w:tbl>
      <w:tblPr>
        <w:tblStyle w:val="5"/>
        <w:tblW w:w="14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1576"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1603"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王晓红</w:t>
            </w:r>
          </w:p>
        </w:tc>
        <w:tc>
          <w:tcPr>
            <w:tcW w:w="1712"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1915"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南京中医药大学徐州附属医院</w:t>
            </w:r>
          </w:p>
        </w:tc>
        <w:tc>
          <w:tcPr>
            <w:tcW w:w="1958"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2102"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女</w:t>
            </w:r>
          </w:p>
        </w:tc>
        <w:tc>
          <w:tcPr>
            <w:tcW w:w="1494" w:type="dxa"/>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1975"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1979.2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1576" w:type="dxa"/>
            <w:tcBorders>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1603" w:type="dxa"/>
            <w:tcBorders>
              <w:left w:val="single" w:color="auto" w:sz="6" w:space="0"/>
              <w:bottom w:val="single" w:color="auto" w:sz="6" w:space="0"/>
              <w:right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2008.7</w:t>
            </w:r>
          </w:p>
        </w:tc>
        <w:tc>
          <w:tcPr>
            <w:tcW w:w="1712" w:type="dxa"/>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1915" w:type="dxa"/>
            <w:tcBorders>
              <w:left w:val="single" w:color="auto" w:sz="6" w:space="0"/>
              <w:bottom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硕士研究生 2007.6</w:t>
            </w:r>
          </w:p>
        </w:tc>
        <w:tc>
          <w:tcPr>
            <w:tcW w:w="1958" w:type="dxa"/>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2102"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博士 2020.9</w:t>
            </w:r>
          </w:p>
        </w:tc>
        <w:tc>
          <w:tcPr>
            <w:tcW w:w="1494" w:type="dxa"/>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1975" w:type="dxa"/>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2023.7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1576" w:type="dxa"/>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1603" w:type="dxa"/>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主任中医师2023.12</w:t>
            </w:r>
          </w:p>
        </w:tc>
        <w:tc>
          <w:tcPr>
            <w:tcW w:w="1712" w:type="dxa"/>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1915" w:type="dxa"/>
            <w:tcBorders>
              <w:top w:val="single" w:color="auto" w:sz="6" w:space="0"/>
              <w:left w:val="single" w:color="auto" w:sz="6" w:space="0"/>
              <w:bottom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教师系列</w:t>
            </w:r>
          </w:p>
        </w:tc>
        <w:tc>
          <w:tcPr>
            <w:tcW w:w="1958" w:type="dxa"/>
            <w:tcBorders>
              <w:bottom w:val="single" w:color="auto" w:sz="4"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2102" w:type="dxa"/>
            <w:tcBorders>
              <w:bottom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临床为主型</w:t>
            </w:r>
          </w:p>
        </w:tc>
        <w:tc>
          <w:tcPr>
            <w:tcW w:w="1494" w:type="dxa"/>
            <w:tcBorders>
              <w:bottom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1975" w:type="dxa"/>
            <w:tcBorders>
              <w:bottom w:val="single" w:color="auto" w:sz="4" w:space="0"/>
            </w:tcBorders>
            <w:vAlign w:val="center"/>
          </w:tcPr>
          <w:p>
            <w:pPr>
              <w:spacing w:after="0" w:line="240" w:lineRule="auto"/>
              <w:jc w:val="both"/>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中医内科学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1576" w:type="dxa"/>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5230" w:type="dxa"/>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讲师</w:t>
            </w:r>
          </w:p>
        </w:tc>
        <w:tc>
          <w:tcPr>
            <w:tcW w:w="19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r>
              <w:rPr>
                <w:rFonts w:hint="eastAsia" w:ascii="楷体" w:hAnsi="楷体" w:eastAsia="楷体"/>
                <w:b/>
                <w:bCs/>
                <w:sz w:val="18"/>
                <w:szCs w:val="18"/>
                <w:highlight w:val="none"/>
                <w:vertAlign w:val="superscript"/>
                <w:lang w:val="en-US" w:eastAsia="zh-CN"/>
              </w:rPr>
              <w:t>4</w:t>
            </w:r>
          </w:p>
        </w:tc>
        <w:tc>
          <w:tcPr>
            <w:tcW w:w="5571" w:type="dxa"/>
            <w:gridSpan w:val="3"/>
            <w:tcBorders>
              <w:top w:val="single" w:color="auto" w:sz="4" w:space="0"/>
              <w:left w:val="single" w:color="auto" w:sz="4" w:space="0"/>
              <w:bottom w:val="single" w:color="auto" w:sz="4" w:space="0"/>
            </w:tcBorders>
            <w:vAlign w:val="center"/>
          </w:tcPr>
          <w:p>
            <w:pPr>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14335" w:type="dxa"/>
            <w:gridSpan w:val="8"/>
            <w:tcBorders>
              <w:top w:val="single" w:color="auto" w:sz="4" w:space="0"/>
              <w:left w:val="nil"/>
              <w:bottom w:val="nil"/>
              <w:right w:val="nil"/>
            </w:tcBorders>
            <w:vAlign w:val="center"/>
          </w:tcPr>
          <w:p>
            <w:pPr>
              <w:spacing w:after="0" w:line="280" w:lineRule="exact"/>
              <w:rPr>
                <w:rFonts w:ascii="黑体" w:hAnsi="黑体" w:eastAsia="黑体"/>
                <w:sz w:val="18"/>
                <w:szCs w:val="21"/>
                <w:highlight w:val="none"/>
              </w:rPr>
            </w:pPr>
            <w:r>
              <w:rPr>
                <w:rFonts w:hint="eastAsia" w:ascii="黑体" w:hAnsi="黑体" w:eastAsia="黑体"/>
                <w:spacing w:val="-11"/>
                <w:highlight w:val="none"/>
              </w:rPr>
              <w:t>★重要说明</w:t>
            </w:r>
            <w:r>
              <w:rPr>
                <w:rFonts w:hint="eastAsia" w:ascii="黑体" w:hAnsi="黑体" w:eastAsia="黑体"/>
                <w:spacing w:val="-11"/>
                <w:highlight w:val="none"/>
                <w:lang w:eastAsia="zh-CN"/>
              </w:rPr>
              <w:t>：</w:t>
            </w: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ascii="黑体" w:hAnsi="黑体" w:eastAsia="黑体"/>
                <w:sz w:val="18"/>
                <w:szCs w:val="21"/>
                <w:highlight w:val="none"/>
              </w:rPr>
              <w:t>拟申报系列是指教师系列、实验系列、学生思政系列、教育管理系列</w:t>
            </w:r>
            <w:r>
              <w:rPr>
                <w:rFonts w:hint="eastAsia" w:ascii="黑体" w:hAnsi="黑体" w:eastAsia="黑体"/>
                <w:sz w:val="18"/>
                <w:szCs w:val="21"/>
                <w:highlight w:val="none"/>
                <w:lang w:eastAsia="zh-CN"/>
              </w:rPr>
              <w:t>；</w:t>
            </w:r>
            <w:r>
              <w:rPr>
                <w:rFonts w:hint="eastAsia" w:ascii="黑体" w:hAnsi="黑体" w:eastAsia="黑体"/>
                <w:sz w:val="18"/>
                <w:szCs w:val="21"/>
                <w:highlight w:val="none"/>
                <w:lang w:val="en-US" w:eastAsia="zh-CN"/>
              </w:rPr>
              <w:t>以下业绩成果</w:t>
            </w:r>
            <w:r>
              <w:rPr>
                <w:rFonts w:ascii="黑体" w:hAnsi="黑体" w:eastAsia="黑体"/>
                <w:sz w:val="18"/>
                <w:szCs w:val="21"/>
                <w:highlight w:val="none"/>
              </w:rPr>
              <w:t>须根据拟申报系列的要求填写；</w:t>
            </w:r>
          </w:p>
          <w:p>
            <w:pPr>
              <w:spacing w:after="0" w:line="280" w:lineRule="exact"/>
              <w:ind w:firstLine="1080" w:firstLineChars="600"/>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ascii="黑体" w:hAnsi="黑体" w:eastAsia="黑体"/>
                <w:sz w:val="18"/>
                <w:szCs w:val="21"/>
                <w:highlight w:val="none"/>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highlight w:val="none"/>
              </w:rPr>
            </w:pPr>
            <w:r>
              <w:rPr>
                <w:rFonts w:hint="eastAsia" w:ascii="黑体" w:hAnsi="黑体" w:eastAsia="黑体"/>
                <w:sz w:val="18"/>
                <w:szCs w:val="21"/>
                <w:highlight w:val="none"/>
                <w:lang w:val="en-US" w:eastAsia="zh-CN"/>
              </w:rPr>
              <w:t>4.公共课教师特指我校思想政治理论课、大学外语公共课、计算机基础课、数学课、物理课和体育课教师。</w:t>
            </w:r>
          </w:p>
        </w:tc>
      </w:tr>
    </w:tbl>
    <w:p>
      <w:pPr>
        <w:spacing w:after="0" w:line="20" w:lineRule="exact"/>
        <w:rPr>
          <w:sz w:val="10"/>
          <w:szCs w:val="10"/>
          <w:highlight w:val="none"/>
        </w:rPr>
      </w:pPr>
    </w:p>
    <w:tbl>
      <w:tblPr>
        <w:tblStyle w:val="5"/>
        <w:tblW w:w="143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808"/>
        <w:gridCol w:w="1169"/>
        <w:gridCol w:w="1493"/>
        <w:gridCol w:w="1244"/>
        <w:gridCol w:w="1711"/>
        <w:gridCol w:w="2261"/>
        <w:gridCol w:w="63"/>
        <w:gridCol w:w="1037"/>
        <w:gridCol w:w="834"/>
        <w:gridCol w:w="719"/>
        <w:gridCol w:w="1785"/>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480" w:hRule="atLeast"/>
        </w:trPr>
        <w:tc>
          <w:tcPr>
            <w:tcW w:w="1186" w:type="dxa"/>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808"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学年</w:t>
            </w:r>
          </w:p>
        </w:tc>
        <w:tc>
          <w:tcPr>
            <w:tcW w:w="1169" w:type="dxa"/>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1493" w:type="dxa"/>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1244"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1711"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2324" w:type="dxa"/>
            <w:gridSpan w:val="2"/>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103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1553" w:type="dxa"/>
            <w:gridSpan w:val="2"/>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1785" w:type="dxa"/>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01"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3</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9</w:t>
            </w:r>
          </w:p>
        </w:tc>
        <w:tc>
          <w:tcPr>
            <w:tcW w:w="1493" w:type="dxa"/>
            <w:tcBorders>
              <w:top w:val="single" w:color="auto" w:sz="6" w:space="0"/>
              <w:left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2022-2023（2）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2020级中医学（全科医学）</w:t>
            </w:r>
          </w:p>
        </w:tc>
        <w:tc>
          <w:tcPr>
            <w:tcW w:w="2324" w:type="dxa"/>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内科学</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9</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37"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84"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2</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0</w:t>
            </w:r>
          </w:p>
        </w:tc>
        <w:tc>
          <w:tcPr>
            <w:tcW w:w="1493" w:type="dxa"/>
            <w:tcBorders>
              <w:top w:val="single" w:color="auto" w:sz="6" w:space="0"/>
              <w:left w:val="single" w:color="auto" w:sz="6" w:space="0"/>
              <w:right w:val="single" w:color="auto" w:sz="6" w:space="0"/>
            </w:tcBorders>
            <w:vAlign w:val="center"/>
          </w:tcPr>
          <w:p>
            <w:pPr>
              <w:spacing w:after="0" w:line="240" w:lineRule="auto"/>
              <w:jc w:val="center"/>
              <w:rPr>
                <w:rFonts w:hint="eastAsia" w:ascii="KaiTi_GB2312" w:eastAsia="KaiTi_GB2312"/>
                <w:highlight w:val="none"/>
                <w:lang w:val="en-US" w:eastAsia="zh-CN"/>
              </w:rPr>
            </w:pP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90"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16"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21</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10</w:t>
            </w:r>
          </w:p>
        </w:tc>
        <w:tc>
          <w:tcPr>
            <w:tcW w:w="1493" w:type="dxa"/>
            <w:tcBorders>
              <w:top w:val="single" w:color="auto" w:sz="6" w:space="0"/>
              <w:left w:val="single" w:color="auto" w:sz="6" w:space="0"/>
              <w:right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lang w:val="en-US" w:eastAsia="zh-CN"/>
              </w:rPr>
              <w:t>2020-2021（2）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2018级中医八</w:t>
            </w:r>
          </w:p>
        </w:tc>
        <w:tc>
          <w:tcPr>
            <w:tcW w:w="2324" w:type="dxa"/>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内科学</w:t>
            </w:r>
          </w:p>
        </w:tc>
        <w:tc>
          <w:tcPr>
            <w:tcW w:w="1037" w:type="dxa"/>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10</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00"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75"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10</w:t>
            </w:r>
          </w:p>
        </w:tc>
        <w:tc>
          <w:tcPr>
            <w:tcW w:w="1493" w:type="dxa"/>
            <w:tcBorders>
              <w:left w:val="single" w:color="auto" w:sz="6"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2019-2020（2）</w:t>
            </w: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2017级中医八</w:t>
            </w:r>
          </w:p>
        </w:tc>
        <w:tc>
          <w:tcPr>
            <w:tcW w:w="2324" w:type="dxa"/>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内科学</w:t>
            </w:r>
          </w:p>
        </w:tc>
        <w:tc>
          <w:tcPr>
            <w:tcW w:w="1037" w:type="dxa"/>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10</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200"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1244" w:type="dxa"/>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58"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9</w:t>
            </w:r>
          </w:p>
        </w:tc>
        <w:tc>
          <w:tcPr>
            <w:tcW w:w="1169" w:type="dxa"/>
            <w:vMerge w:val="restart"/>
            <w:tcBorders>
              <w:top w:val="single" w:color="auto" w:sz="6" w:space="0"/>
              <w:left w:val="single" w:color="auto" w:sz="4" w:space="0"/>
              <w:right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10</w:t>
            </w:r>
          </w:p>
        </w:tc>
        <w:tc>
          <w:tcPr>
            <w:tcW w:w="1493" w:type="dxa"/>
            <w:tcBorders>
              <w:top w:val="single" w:color="auto" w:sz="6" w:space="0"/>
              <w:left w:val="single" w:color="auto" w:sz="6" w:space="0"/>
              <w:right w:val="single" w:color="auto" w:sz="4"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2018-2019（2）</w:t>
            </w:r>
          </w:p>
        </w:tc>
        <w:tc>
          <w:tcPr>
            <w:tcW w:w="1244" w:type="dxa"/>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本科</w:t>
            </w: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hint="default" w:ascii="KaiTi_GB2312" w:eastAsia="KaiTi_GB2312"/>
                <w:sz w:val="10"/>
                <w:szCs w:val="10"/>
                <w:highlight w:val="none"/>
                <w:lang w:val="en-US" w:eastAsia="zh-CN"/>
              </w:rPr>
            </w:pPr>
            <w:r>
              <w:rPr>
                <w:rFonts w:hint="eastAsia" w:ascii="KaiTi_GB2312" w:eastAsia="KaiTi_GB2312"/>
                <w:highlight w:val="none"/>
                <w:lang w:val="en-US" w:eastAsia="zh-CN"/>
              </w:rPr>
              <w:t>2016级中医八</w:t>
            </w:r>
          </w:p>
        </w:tc>
        <w:tc>
          <w:tcPr>
            <w:tcW w:w="2324" w:type="dxa"/>
            <w:gridSpan w:val="2"/>
            <w:vAlign w:val="center"/>
          </w:tcPr>
          <w:p>
            <w:pPr>
              <w:spacing w:after="0" w:line="240" w:lineRule="auto"/>
              <w:jc w:val="center"/>
              <w:rPr>
                <w:rFonts w:hint="eastAsia" w:ascii="KaiTi_GB2312" w:eastAsia="KaiTi_GB2312"/>
                <w:highlight w:val="none"/>
                <w:lang w:val="en-US" w:eastAsia="zh-CN"/>
              </w:rPr>
            </w:pPr>
            <w:r>
              <w:rPr>
                <w:rFonts w:hint="eastAsia" w:ascii="KaiTi_GB2312" w:eastAsia="KaiTi_GB2312"/>
                <w:highlight w:val="none"/>
                <w:lang w:val="en-US" w:eastAsia="zh-CN"/>
              </w:rPr>
              <w:t>内科学</w:t>
            </w:r>
          </w:p>
        </w:tc>
        <w:tc>
          <w:tcPr>
            <w:tcW w:w="1037" w:type="dxa"/>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10</w:t>
            </w:r>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31" w:hRule="atLeast"/>
        </w:trPr>
        <w:tc>
          <w:tcPr>
            <w:tcW w:w="1186" w:type="dxa"/>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808" w:type="dxa"/>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1169" w:type="dxa"/>
            <w:vMerge w:val="continue"/>
            <w:tcBorders>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1493" w:type="dxa"/>
            <w:tcBorders>
              <w:left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244" w:type="dxa"/>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1711" w:type="dxa"/>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2324" w:type="dxa"/>
            <w:gridSpan w:val="2"/>
            <w:vAlign w:val="center"/>
          </w:tcPr>
          <w:p>
            <w:pPr>
              <w:spacing w:after="0" w:line="240" w:lineRule="auto"/>
              <w:jc w:val="center"/>
              <w:rPr>
                <w:rFonts w:ascii="KaiTi_GB2312" w:eastAsia="KaiTi_GB2312"/>
                <w:highlight w:val="none"/>
              </w:rPr>
            </w:pPr>
          </w:p>
        </w:tc>
        <w:tc>
          <w:tcPr>
            <w:tcW w:w="1037" w:type="dxa"/>
            <w:vAlign w:val="center"/>
          </w:tcPr>
          <w:p>
            <w:pPr>
              <w:spacing w:after="0" w:line="240" w:lineRule="auto"/>
              <w:jc w:val="center"/>
              <w:rPr>
                <w:rFonts w:ascii="KaiTi_GB2312" w:eastAsia="KaiTi_GB2312"/>
                <w:highlight w:val="none"/>
              </w:rPr>
            </w:pPr>
            <w:bookmarkStart w:id="0" w:name="_GoBack"/>
            <w:bookmarkEnd w:id="0"/>
          </w:p>
        </w:tc>
        <w:tc>
          <w:tcPr>
            <w:tcW w:w="1553" w:type="dxa"/>
            <w:gridSpan w:val="2"/>
            <w:vAlign w:val="center"/>
          </w:tcPr>
          <w:p>
            <w:pPr>
              <w:spacing w:after="0" w:line="240" w:lineRule="auto"/>
              <w:jc w:val="center"/>
              <w:rPr>
                <w:rFonts w:ascii="KaiTi_GB2312" w:eastAsia="KaiTi_GB2312"/>
                <w:highlight w:val="none"/>
              </w:rPr>
            </w:pPr>
          </w:p>
        </w:tc>
        <w:tc>
          <w:tcPr>
            <w:tcW w:w="178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344" w:hRule="atLeast"/>
        </w:trPr>
        <w:tc>
          <w:tcPr>
            <w:tcW w:w="1186" w:type="dxa"/>
            <w:vMerge w:val="continue"/>
            <w:tcBorders>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6425" w:type="dxa"/>
            <w:gridSpan w:val="5"/>
            <w:tcBorders>
              <w:left w:val="single" w:color="auto" w:sz="6" w:space="0"/>
              <w:bottom w:val="single" w:color="auto" w:sz="6" w:space="0"/>
            </w:tcBorders>
            <w:vAlign w:val="center"/>
          </w:tcPr>
          <w:p>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6699" w:type="dxa"/>
            <w:gridSpan w:val="6"/>
            <w:tcBorders>
              <w:left w:val="single" w:color="auto" w:sz="4" w:space="0"/>
              <w:bottom w:val="single" w:color="auto" w:sz="6" w:space="0"/>
            </w:tcBorders>
            <w:vAlign w:val="center"/>
          </w:tcPr>
          <w:p>
            <w:pPr>
              <w:spacing w:after="0" w:line="240" w:lineRule="auto"/>
              <w:jc w:val="center"/>
              <w:rPr>
                <w:rFonts w:hint="default" w:ascii="KaiTi_GB2312" w:eastAsia="KaiTi_GB2312"/>
                <w:highlight w:val="none"/>
                <w:lang w:val="en-US" w:eastAsia="zh-CN"/>
              </w:rPr>
            </w:pPr>
            <w:r>
              <w:rPr>
                <w:rFonts w:hint="eastAsia" w:ascii="KaiTi_GB2312" w:eastAsia="KaiTi_GB2312"/>
                <w:highlight w:val="none"/>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7611" w:type="dxa"/>
            <w:gridSpan w:val="6"/>
            <w:tcBorders>
              <w:top w:val="single" w:color="auto" w:sz="6" w:space="0"/>
              <w:bottom w:val="single" w:color="auto" w:sz="6" w:space="0"/>
            </w:tcBorders>
            <w:vAlign w:val="center"/>
          </w:tcPr>
          <w:p>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2261"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□符合    □不符合</w:t>
            </w:r>
          </w:p>
        </w:tc>
        <w:tc>
          <w:tcPr>
            <w:tcW w:w="1934" w:type="dxa"/>
            <w:gridSpan w:val="3"/>
            <w:vAlign w:val="center"/>
          </w:tcPr>
          <w:p>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2515" w:type="dxa"/>
            <w:gridSpan w:val="3"/>
            <w:vAlign w:val="center"/>
          </w:tcPr>
          <w:p>
            <w:pPr>
              <w:spacing w:after="0" w:line="240" w:lineRule="auto"/>
              <w:jc w:val="center"/>
              <w:rPr>
                <w:rFonts w:ascii="KaiTi_GB2312" w:eastAsia="KaiTi_GB2312"/>
                <w:highlight w:val="none"/>
              </w:rPr>
            </w:pPr>
          </w:p>
        </w:tc>
      </w:tr>
    </w:tbl>
    <w:p>
      <w:pPr>
        <w:spacing w:after="0" w:line="240" w:lineRule="auto"/>
        <w:rPr>
          <w:vanish/>
          <w:highlight w:val="none"/>
        </w:rPr>
      </w:pPr>
    </w:p>
    <w:tbl>
      <w:tblPr>
        <w:tblStyle w:val="5"/>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728"/>
        <w:gridCol w:w="1560"/>
        <w:gridCol w:w="798"/>
        <w:gridCol w:w="720"/>
        <w:gridCol w:w="862"/>
        <w:gridCol w:w="1644"/>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728"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56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798"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862" w:type="dxa"/>
            <w:tcBorders>
              <w:bottom w:val="single" w:color="auto" w:sz="4" w:space="0"/>
            </w:tcBorders>
            <w:vAlign w:val="center"/>
          </w:tcPr>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2</w:t>
            </w:r>
          </w:p>
        </w:tc>
        <w:tc>
          <w:tcPr>
            <w:tcW w:w="1644" w:type="dxa"/>
            <w:tcBorders>
              <w:bottom w:val="single" w:color="auto" w:sz="4" w:space="0"/>
            </w:tcBorders>
            <w:vAlign w:val="center"/>
          </w:tcPr>
          <w:p>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pPr>
              <w:adjustRightInd w:val="0"/>
              <w:snapToGrid w:val="0"/>
              <w:spacing w:after="0" w:line="240" w:lineRule="auto"/>
              <w:jc w:val="center"/>
              <w:rPr>
                <w:rFonts w:hint="eastAsia" w:ascii="楷体" w:hAnsi="楷体" w:eastAsia="楷体"/>
                <w:b/>
                <w:bCs/>
                <w:highlight w:val="none"/>
                <w:vertAlign w:val="superscript"/>
                <w:lang w:val="en-US"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3</w:t>
            </w:r>
          </w:p>
          <w:p>
            <w:pPr>
              <w:adjustRightInd w:val="0"/>
              <w:snapToGrid w:val="0"/>
              <w:spacing w:after="0" w:line="240" w:lineRule="auto"/>
              <w:jc w:val="center"/>
              <w:rPr>
                <w:rFonts w:hint="default" w:ascii="楷体" w:hAnsi="楷体" w:eastAsia="楷体"/>
                <w:b/>
                <w:bCs/>
                <w:highlight w:val="none"/>
                <w:vertAlign w:val="superscript"/>
                <w:lang w:val="en-US" w:eastAsia="zh-CN"/>
              </w:rPr>
            </w:pP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restart"/>
            <w:tcBorders>
              <w:right w:val="single" w:color="auto" w:sz="2" w:space="0"/>
            </w:tcBorders>
            <w:textDirection w:val="tbRlV"/>
            <w:vAlign w:val="top"/>
          </w:tcPr>
          <w:p>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741" w:type="dxa"/>
            <w:vMerge w:val="restart"/>
            <w:tcBorders>
              <w:top w:val="single" w:color="auto" w:sz="2" w:space="0"/>
              <w:left w:val="single" w:color="auto" w:sz="2" w:space="0"/>
              <w:right w:val="single" w:color="auto" w:sz="4" w:space="0"/>
            </w:tcBorders>
            <w:textDirection w:val="tbRlV"/>
            <w:vAlign w:val="top"/>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w:t>
            </w:r>
            <w:r>
              <w:rPr>
                <w:rFonts w:hint="eastAsia" w:ascii="KaiTi_GB2312" w:eastAsia="KaiTi_GB2312"/>
                <w:sz w:val="22"/>
                <w:highlight w:val="none"/>
                <w:lang w:val="en-US" w:eastAsia="zh-CN"/>
              </w:rPr>
              <w:t>5</w:t>
            </w:r>
            <w:r>
              <w:rPr>
                <w:rFonts w:hint="eastAsia" w:ascii="KaiTi_GB2312" w:eastAsia="KaiTi_GB2312"/>
                <w:sz w:val="22"/>
                <w:highlight w:val="none"/>
              </w:rPr>
              <w:t>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4"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4"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4" w:space="0"/>
              <w:left w:val="single" w:color="auto" w:sz="4"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4"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4"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741" w:type="dxa"/>
            <w:vMerge w:val="restart"/>
            <w:tcBorders>
              <w:top w:val="single" w:color="auto" w:sz="12" w:space="0"/>
              <w:left w:val="single" w:color="auto" w:sz="2" w:space="0"/>
            </w:tcBorders>
            <w:textDirection w:val="tbLrV"/>
            <w:vAlign w:val="top"/>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w:t>
            </w:r>
            <w:r>
              <w:rPr>
                <w:rFonts w:hint="eastAsia" w:ascii="KaiTi_GB2312" w:eastAsia="KaiTi_GB2312"/>
                <w:sz w:val="22"/>
                <w:highlight w:val="none"/>
                <w:lang w:val="en-US" w:eastAsia="zh-CN"/>
              </w:rPr>
              <w:t>10</w:t>
            </w:r>
            <w:r>
              <w:rPr>
                <w:rFonts w:hint="eastAsia" w:ascii="KaiTi_GB2312" w:eastAsia="KaiTi_GB2312"/>
                <w:sz w:val="22"/>
                <w:highlight w:val="none"/>
              </w:rPr>
              <w:t>篇）</w:t>
            </w:r>
          </w:p>
        </w:tc>
        <w:tc>
          <w:tcPr>
            <w:tcW w:w="458" w:type="dxa"/>
            <w:tcBorders>
              <w:top w:val="single" w:color="auto" w:sz="1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扶正抗萎方对胃癌前病变ESD术后患者胃肠功能、蛋白组学及Hedgehog信号通路影响</w:t>
            </w:r>
          </w:p>
        </w:tc>
        <w:tc>
          <w:tcPr>
            <w:tcW w:w="1560"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辽宁中医药大学学报</w:t>
            </w:r>
          </w:p>
        </w:tc>
        <w:tc>
          <w:tcPr>
            <w:tcW w:w="798"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23（10）</w:t>
            </w:r>
          </w:p>
        </w:tc>
        <w:tc>
          <w:tcPr>
            <w:tcW w:w="720"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135-138</w:t>
            </w:r>
          </w:p>
        </w:tc>
        <w:tc>
          <w:tcPr>
            <w:tcW w:w="862"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2021.10</w:t>
            </w:r>
          </w:p>
        </w:tc>
        <w:tc>
          <w:tcPr>
            <w:tcW w:w="1644"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第一作者</w:t>
            </w:r>
          </w:p>
        </w:tc>
        <w:tc>
          <w:tcPr>
            <w:tcW w:w="2775"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王晓红#，胡兵，铉力</w:t>
            </w:r>
          </w:p>
        </w:tc>
        <w:tc>
          <w:tcPr>
            <w:tcW w:w="720" w:type="dxa"/>
            <w:tcBorders>
              <w:top w:val="single" w:color="auto" w:sz="12" w:space="0"/>
            </w:tcBorders>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省级刊物</w:t>
            </w:r>
          </w:p>
        </w:tc>
        <w:tc>
          <w:tcPr>
            <w:tcW w:w="88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美沙拉嗪联合结肠炎I号治疗31例溃疡性结肠炎患者的临床疗效及对炎症因子的影响</w:t>
            </w:r>
          </w:p>
        </w:tc>
        <w:tc>
          <w:tcPr>
            <w:tcW w:w="156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世界中西医结合杂志</w:t>
            </w:r>
          </w:p>
        </w:tc>
        <w:tc>
          <w:tcPr>
            <w:tcW w:w="79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16（8）</w:t>
            </w:r>
          </w:p>
        </w:tc>
        <w:tc>
          <w:tcPr>
            <w:tcW w:w="72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1476-1480</w:t>
            </w:r>
          </w:p>
        </w:tc>
        <w:tc>
          <w:tcPr>
            <w:tcW w:w="862"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2021.08</w:t>
            </w:r>
          </w:p>
        </w:tc>
        <w:tc>
          <w:tcPr>
            <w:tcW w:w="1644"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王晓红#，胡兵，铉力</w:t>
            </w:r>
          </w:p>
        </w:tc>
        <w:tc>
          <w:tcPr>
            <w:tcW w:w="72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仿宋" w:hAnsi="仿宋" w:eastAsia="仿宋"/>
                <w:sz w:val="20"/>
                <w:szCs w:val="20"/>
                <w:lang w:val="en-US" w:eastAsia="zh-CN"/>
              </w:rPr>
              <w:t>科技核心</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Formononetin promotes apoptosis of colorectal cancer cells via activation of mitochondria-dependent MAPK pathway</w:t>
            </w:r>
          </w:p>
        </w:tc>
        <w:tc>
          <w:tcPr>
            <w:tcW w:w="156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Tropical Journal of Pharmaceutical Research</w:t>
            </w:r>
          </w:p>
        </w:tc>
        <w:tc>
          <w:tcPr>
            <w:tcW w:w="79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18(2)</w:t>
            </w:r>
          </w:p>
        </w:tc>
        <w:tc>
          <w:tcPr>
            <w:tcW w:w="72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243-249</w:t>
            </w:r>
          </w:p>
        </w:tc>
        <w:tc>
          <w:tcPr>
            <w:tcW w:w="862"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2019.02</w:t>
            </w:r>
          </w:p>
        </w:tc>
        <w:tc>
          <w:tcPr>
            <w:tcW w:w="1644"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Xiao-hong Wang#,Zhi-guang Sun*,Lei Luo</w:t>
            </w:r>
          </w:p>
        </w:tc>
        <w:tc>
          <w:tcPr>
            <w:tcW w:w="720"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仿宋" w:hAnsi="仿宋" w:eastAsia="仿宋"/>
                <w:sz w:val="20"/>
                <w:szCs w:val="20"/>
                <w:lang w:val="en-US" w:eastAsia="zh-CN"/>
              </w:rPr>
              <w:t>SCI</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抗萎方治疗慢性萎缩性胃炎的临床观察</w:t>
            </w:r>
          </w:p>
        </w:tc>
        <w:tc>
          <w:tcPr>
            <w:tcW w:w="156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中国继续医学教育</w:t>
            </w:r>
          </w:p>
        </w:tc>
        <w:tc>
          <w:tcPr>
            <w:tcW w:w="79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12(7)</w:t>
            </w:r>
          </w:p>
        </w:tc>
        <w:tc>
          <w:tcPr>
            <w:tcW w:w="72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194-195</w:t>
            </w:r>
          </w:p>
        </w:tc>
        <w:tc>
          <w:tcPr>
            <w:tcW w:w="862"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2015.12</w:t>
            </w:r>
          </w:p>
        </w:tc>
        <w:tc>
          <w:tcPr>
            <w:tcW w:w="1644"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王晓红</w:t>
            </w:r>
          </w:p>
        </w:tc>
        <w:tc>
          <w:tcPr>
            <w:tcW w:w="72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省级刊物</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温胆汤方加味治疗消化性溃疡临床分析</w:t>
            </w:r>
          </w:p>
        </w:tc>
        <w:tc>
          <w:tcPr>
            <w:tcW w:w="156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中国卫生标准管理</w:t>
            </w:r>
          </w:p>
        </w:tc>
        <w:tc>
          <w:tcPr>
            <w:tcW w:w="798"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7(36)</w:t>
            </w:r>
          </w:p>
        </w:tc>
        <w:tc>
          <w:tcPr>
            <w:tcW w:w="72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119-120</w:t>
            </w:r>
          </w:p>
        </w:tc>
        <w:tc>
          <w:tcPr>
            <w:tcW w:w="862"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2016.12</w:t>
            </w:r>
          </w:p>
        </w:tc>
        <w:tc>
          <w:tcPr>
            <w:tcW w:w="1644"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第一作者</w:t>
            </w:r>
          </w:p>
        </w:tc>
        <w:tc>
          <w:tcPr>
            <w:tcW w:w="2775"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王晓红</w:t>
            </w:r>
          </w:p>
        </w:tc>
        <w:tc>
          <w:tcPr>
            <w:tcW w:w="720" w:type="dxa"/>
            <w:vAlign w:val="center"/>
          </w:tcPr>
          <w:p>
            <w:pPr>
              <w:spacing w:after="0" w:line="240" w:lineRule="auto"/>
              <w:jc w:val="center"/>
              <w:rPr>
                <w:rFonts w:ascii="KaiTi_GB2312" w:eastAsia="KaiTi_GB2312"/>
                <w:sz w:val="24"/>
                <w:szCs w:val="28"/>
                <w:highlight w:val="none"/>
              </w:rPr>
            </w:pPr>
            <w:r>
              <w:rPr>
                <w:rFonts w:hint="eastAsia" w:ascii="仿宋" w:hAnsi="仿宋" w:eastAsia="仿宋"/>
                <w:sz w:val="20"/>
                <w:szCs w:val="20"/>
                <w:lang w:val="en-US" w:eastAsia="zh-CN"/>
              </w:rPr>
              <w:t>省级刊物</w:t>
            </w: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6</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7</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8</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9</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583" w:type="dxa"/>
            <w:vMerge w:val="continue"/>
            <w:tcBorders>
              <w:right w:val="single" w:color="auto" w:sz="2" w:space="0"/>
            </w:tcBorders>
            <w:vAlign w:val="top"/>
          </w:tcPr>
          <w:p>
            <w:pPr>
              <w:spacing w:after="0" w:line="240" w:lineRule="auto"/>
              <w:rPr>
                <w:rFonts w:ascii="KaiTi_GB2312" w:eastAsia="KaiTi_GB2312"/>
                <w:sz w:val="24"/>
                <w:szCs w:val="28"/>
                <w:highlight w:val="none"/>
              </w:rPr>
            </w:pPr>
          </w:p>
        </w:tc>
        <w:tc>
          <w:tcPr>
            <w:tcW w:w="741" w:type="dxa"/>
            <w:vMerge w:val="continue"/>
            <w:tcBorders>
              <w:left w:val="single" w:color="auto" w:sz="2" w:space="0"/>
            </w:tcBorders>
            <w:vAlign w:val="top"/>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10</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024" w:type="dxa"/>
            <w:gridSpan w:val="4"/>
            <w:vAlign w:val="center"/>
          </w:tcPr>
          <w:p>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本年度专业技术职务申报者提交的任现职以来的教学论文（论著）不得超过</w:t>
      </w:r>
      <w:r>
        <w:rPr>
          <w:rFonts w:hint="eastAsia" w:ascii="黑体" w:hAnsi="黑体" w:eastAsia="黑体"/>
          <w:spacing w:val="-11"/>
          <w:highlight w:val="none"/>
          <w:lang w:val="en-US" w:eastAsia="zh-CN"/>
        </w:rPr>
        <w:t>5</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5篇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316" w:firstLineChars="700"/>
        <w:rPr>
          <w:rFonts w:hint="eastAsia" w:ascii="黑体" w:hAnsi="黑体" w:eastAsia="黑体"/>
          <w:spacing w:val="-11"/>
          <w:highlight w:val="none"/>
          <w:lang w:val="en-US" w:eastAsia="zh-CN"/>
        </w:rPr>
      </w:pP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科研</w:t>
      </w:r>
      <w:r>
        <w:rPr>
          <w:rFonts w:hint="eastAsia" w:ascii="黑体" w:hAnsi="黑体" w:eastAsia="黑体"/>
          <w:spacing w:val="-11"/>
          <w:highlight w:val="none"/>
        </w:rPr>
        <w:t>论文（论著）不得超过</w:t>
      </w:r>
      <w:r>
        <w:rPr>
          <w:rFonts w:hint="eastAsia" w:ascii="黑体" w:hAnsi="黑体" w:eastAsia="黑体"/>
          <w:spacing w:val="-11"/>
          <w:highlight w:val="none"/>
          <w:lang w:val="en-US" w:eastAsia="zh-CN"/>
        </w:rPr>
        <w:t>10</w:t>
      </w:r>
      <w:r>
        <w:rPr>
          <w:rFonts w:hint="eastAsia" w:ascii="黑体" w:hAnsi="黑体" w:eastAsia="黑体"/>
          <w:spacing w:val="-11"/>
          <w:highlight w:val="none"/>
        </w:rPr>
        <w:t>篇。如填写超过</w:t>
      </w:r>
      <w:r>
        <w:rPr>
          <w:rFonts w:hint="eastAsia" w:ascii="黑体" w:hAnsi="黑体" w:eastAsia="黑体"/>
          <w:spacing w:val="-11"/>
          <w:highlight w:val="none"/>
          <w:lang w:val="en-US" w:eastAsia="zh-CN"/>
        </w:rPr>
        <w:t>10篇</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前10项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2.</w:t>
      </w:r>
      <w:r>
        <w:rPr>
          <w:rFonts w:hint="eastAsia" w:ascii="黑体" w:hAnsi="黑体" w:eastAsia="黑体"/>
          <w:spacing w:val="-11"/>
          <w:highlight w:val="none"/>
        </w:rPr>
        <w:t>发表或出版年、月指论文或著作的发表或出版时间，以：“2021.03”（例）形式标注</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r>
        <w:rPr>
          <w:rFonts w:hint="eastAsia" w:ascii="黑体" w:hAnsi="黑体" w:eastAsia="黑体"/>
          <w:spacing w:val="-11"/>
          <w:highlight w:val="none"/>
          <w:lang w:val="en-US" w:eastAsia="zh-CN"/>
        </w:rPr>
        <w:t>3.</w:t>
      </w:r>
      <w:r>
        <w:rPr>
          <w:rFonts w:hint="eastAsia" w:ascii="黑体" w:hAnsi="黑体" w:eastAsia="黑体"/>
          <w:spacing w:val="-1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r>
        <w:rPr>
          <w:rFonts w:hint="eastAsia" w:ascii="黑体" w:hAnsi="黑体" w:eastAsia="黑体"/>
          <w:spacing w:val="-11"/>
          <w:highlight w:val="none"/>
          <w:lang w:eastAsia="zh-CN"/>
        </w:rPr>
        <w:t>。</w:t>
      </w:r>
    </w:p>
    <w:p>
      <w:pPr>
        <w:spacing w:after="0" w:line="240" w:lineRule="auto"/>
        <w:ind w:firstLine="1128" w:firstLineChars="600"/>
        <w:rPr>
          <w:rFonts w:hint="eastAsia" w:ascii="黑体" w:hAnsi="黑体" w:eastAsia="黑体"/>
          <w:spacing w:val="-11"/>
          <w:highlight w:val="none"/>
          <w:lang w:val="en-US" w:eastAsia="zh-CN"/>
        </w:rPr>
      </w:pPr>
    </w:p>
    <w:tbl>
      <w:tblPr>
        <w:tblStyle w:val="5"/>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679"/>
        <w:gridCol w:w="3047"/>
        <w:gridCol w:w="1943"/>
        <w:gridCol w:w="1200"/>
        <w:gridCol w:w="900"/>
        <w:gridCol w:w="1405"/>
        <w:gridCol w:w="1184"/>
        <w:gridCol w:w="150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hint="eastAsia" w:ascii="KaiTi_GB2312" w:eastAsia="KaiTi_GB2312"/>
                <w:sz w:val="28"/>
                <w:szCs w:val="28"/>
                <w:highlight w:val="none"/>
                <w:lang w:eastAsia="zh-CN"/>
              </w:rPr>
            </w:pPr>
            <w:r>
              <w:rPr>
                <w:rFonts w:hint="eastAsia" w:ascii="KaiTi_GB2312" w:eastAsia="KaiTi_GB2312"/>
                <w:sz w:val="28"/>
                <w:szCs w:val="28"/>
                <w:highlight w:val="none"/>
              </w:rPr>
              <w:t>承担教学、教改</w:t>
            </w:r>
            <w:r>
              <w:rPr>
                <w:rFonts w:hint="eastAsia" w:ascii="KaiTi_GB2312" w:eastAsia="KaiTi_GB2312"/>
                <w:sz w:val="28"/>
                <w:szCs w:val="28"/>
                <w:highlight w:val="none"/>
                <w:lang w:val="en-US" w:eastAsia="zh-CN"/>
              </w:rPr>
              <w:t>及</w:t>
            </w:r>
            <w:r>
              <w:rPr>
                <w:rFonts w:hint="eastAsia" w:ascii="KaiTi_GB2312" w:eastAsia="KaiTi_GB2312"/>
                <w:sz w:val="28"/>
                <w:szCs w:val="28"/>
                <w:highlight w:val="none"/>
                <w:lang w:eastAsia="zh-CN"/>
              </w:rPr>
              <w:t>科研</w:t>
            </w:r>
          </w:p>
          <w:p>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7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vAlign w:val="top"/>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3047" w:type="dxa"/>
            <w:vAlign w:val="center"/>
          </w:tcPr>
          <w:p>
            <w:pPr>
              <w:spacing w:after="0" w:line="240" w:lineRule="auto"/>
              <w:jc w:val="center"/>
              <w:rPr>
                <w:rFonts w:hint="eastAsia" w:ascii="KaiTi_GB2312" w:eastAsia="KaiTi_GB2312"/>
                <w:sz w:val="24"/>
                <w:szCs w:val="28"/>
                <w:highlight w:val="none"/>
                <w:lang w:val="en-US" w:eastAsia="zh-CN"/>
              </w:rPr>
            </w:pPr>
          </w:p>
        </w:tc>
        <w:tc>
          <w:tcPr>
            <w:tcW w:w="1943" w:type="dxa"/>
            <w:vAlign w:val="center"/>
          </w:tcPr>
          <w:p>
            <w:pPr>
              <w:spacing w:after="0" w:line="240" w:lineRule="auto"/>
              <w:jc w:val="center"/>
              <w:rPr>
                <w:rFonts w:hint="eastAsia" w:ascii="KaiTi_GB2312" w:eastAsia="KaiTi_GB2312"/>
                <w:sz w:val="24"/>
                <w:szCs w:val="28"/>
                <w:highlight w:val="none"/>
                <w:lang w:val="en-US" w:eastAsia="zh-CN"/>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hint="eastAsia" w:ascii="KaiTi_GB2312" w:eastAsia="KaiTi_GB2312"/>
                <w:sz w:val="24"/>
                <w:szCs w:val="28"/>
                <w:highlight w:val="none"/>
                <w:lang w:val="en-US" w:eastAsia="zh-CN"/>
              </w:rPr>
            </w:pPr>
          </w:p>
        </w:tc>
        <w:tc>
          <w:tcPr>
            <w:tcW w:w="1405" w:type="dxa"/>
            <w:vAlign w:val="center"/>
          </w:tcPr>
          <w:p>
            <w:pPr>
              <w:spacing w:after="0" w:line="240" w:lineRule="auto"/>
              <w:jc w:val="both"/>
              <w:rPr>
                <w:rFonts w:hint="eastAsia" w:ascii="KaiTi_GB2312" w:eastAsia="KaiTi_GB2312"/>
                <w:sz w:val="24"/>
                <w:szCs w:val="28"/>
                <w:highlight w:val="none"/>
                <w:lang w:val="en-US" w:eastAsia="zh-CN"/>
              </w:rPr>
            </w:pPr>
          </w:p>
        </w:tc>
        <w:tc>
          <w:tcPr>
            <w:tcW w:w="1184" w:type="dxa"/>
            <w:vAlign w:val="center"/>
          </w:tcPr>
          <w:p>
            <w:pPr>
              <w:spacing w:after="0" w:line="240" w:lineRule="auto"/>
              <w:jc w:val="center"/>
              <w:rPr>
                <w:rFonts w:hint="eastAsia" w:ascii="KaiTi_GB2312" w:eastAsia="KaiTi_GB2312"/>
                <w:sz w:val="24"/>
                <w:szCs w:val="28"/>
                <w:highlight w:val="none"/>
                <w:lang w:val="en-US" w:eastAsia="zh-CN"/>
              </w:rPr>
            </w:pPr>
          </w:p>
        </w:tc>
        <w:tc>
          <w:tcPr>
            <w:tcW w:w="1500" w:type="dxa"/>
            <w:vAlign w:val="center"/>
          </w:tcPr>
          <w:p>
            <w:pPr>
              <w:spacing w:after="0" w:line="240" w:lineRule="auto"/>
              <w:jc w:val="center"/>
              <w:rPr>
                <w:rFonts w:ascii="KaiTi_GB2312" w:eastAsia="KaiTi_GB2312"/>
                <w:color w:val="000000"/>
                <w:highlight w:val="none"/>
              </w:rPr>
            </w:pPr>
          </w:p>
        </w:tc>
        <w:tc>
          <w:tcPr>
            <w:tcW w:w="1450"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vAlign w:val="top"/>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vAlign w:val="top"/>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vAlign w:val="top"/>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vAlign w:val="top"/>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本年度专业技术职务申报者提交的任现职以来的教学</w:t>
      </w:r>
      <w:r>
        <w:rPr>
          <w:rFonts w:hint="eastAsia" w:ascii="黑体" w:hAnsi="黑体" w:eastAsia="黑体"/>
          <w:spacing w:val="-11"/>
          <w:highlight w:val="none"/>
          <w:lang w:eastAsia="zh-CN"/>
        </w:rPr>
        <w:t>、</w:t>
      </w:r>
      <w:r>
        <w:rPr>
          <w:rFonts w:hint="eastAsia" w:ascii="黑体" w:hAnsi="黑体" w:eastAsia="黑体"/>
          <w:spacing w:val="-11"/>
          <w:highlight w:val="none"/>
          <w:lang w:val="en-US" w:eastAsia="zh-CN"/>
        </w:rPr>
        <w:t>教改</w:t>
      </w:r>
      <w:r>
        <w:rPr>
          <w:rFonts w:hint="eastAsia" w:ascii="黑体" w:hAnsi="黑体" w:eastAsia="黑体"/>
          <w:spacing w:val="-11"/>
          <w:highlight w:val="none"/>
        </w:rPr>
        <w:t>及科研代表性</w:t>
      </w:r>
      <w:r>
        <w:rPr>
          <w:rFonts w:hint="eastAsia" w:ascii="黑体" w:hAnsi="黑体" w:eastAsia="黑体"/>
          <w:spacing w:val="-11"/>
          <w:highlight w:val="none"/>
          <w:lang w:val="en-US" w:eastAsia="zh-CN"/>
        </w:rPr>
        <w:t>项目</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rPr>
          <w:highlight w:val="none"/>
        </w:rPr>
      </w:pPr>
    </w:p>
    <w:tbl>
      <w:tblPr>
        <w:tblStyle w:val="5"/>
        <w:tblW w:w="14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247" w:type="dxa"/>
            <w:vMerge w:val="continue"/>
            <w:vAlign w:val="top"/>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rFonts w:ascii="KaiTi_GB2312" w:eastAsia="KaiTi_GB2312"/>
                <w:color w:val="000000"/>
                <w:highlight w:val="none"/>
              </w:rPr>
            </w:pPr>
          </w:p>
        </w:tc>
        <w:tc>
          <w:tcPr>
            <w:tcW w:w="957"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vAlign w:val="top"/>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vAlign w:val="top"/>
          </w:tcPr>
          <w:p>
            <w:pPr>
              <w:spacing w:after="0" w:line="240" w:lineRule="auto"/>
              <w:rPr>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bl>
    <w:p>
      <w:pPr>
        <w:spacing w:after="0" w:line="20" w:lineRule="exact"/>
        <w:rPr>
          <w:sz w:val="2"/>
          <w:szCs w:val="2"/>
          <w:highlight w:val="none"/>
        </w:rPr>
      </w:pPr>
    </w:p>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专利授权及转化代表性成果</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W w:w="14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316" w:hanging="1316" w:hangingChars="700"/>
              <w:rPr>
                <w:rFonts w:ascii="KaiTi_GB2312" w:eastAsia="KaiTi_GB2312"/>
                <w:sz w:val="28"/>
                <w:szCs w:val="28"/>
                <w:highlight w:val="none"/>
              </w:rPr>
            </w:pPr>
            <w:r>
              <w:rPr>
                <w:rFonts w:hint="eastAsia" w:ascii="黑体" w:hAnsi="黑体" w:eastAsia="黑体"/>
                <w:spacing w:val="-11"/>
                <w:highlight w:val="none"/>
                <w:lang w:val="en-US" w:eastAsia="zh-CN"/>
              </w:rPr>
              <w:t xml:space="preserve">  </w:t>
            </w:r>
            <w:r>
              <w:rPr>
                <w:rFonts w:hint="eastAsia" w:ascii="KaiTi_GB2312" w:eastAsia="KaiTi_GB2312"/>
                <w:sz w:val="28"/>
                <w:szCs w:val="28"/>
                <w:highlight w:val="none"/>
              </w:rPr>
              <w:t>科技成果转化情况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47" w:type="dxa"/>
            <w:vMerge w:val="continue"/>
            <w:vAlign w:val="top"/>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1</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rFonts w:ascii="KaiTi_GB2312" w:eastAsia="KaiTi_GB2312"/>
                <w:color w:val="000000"/>
                <w:highlight w:val="none"/>
              </w:rPr>
            </w:pPr>
          </w:p>
        </w:tc>
        <w:tc>
          <w:tcPr>
            <w:tcW w:w="1351"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247" w:type="dxa"/>
            <w:vMerge w:val="continue"/>
            <w:vAlign w:val="top"/>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2</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vAlign w:val="top"/>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rFonts w:hint="eastAsia" w:eastAsia="宋体"/>
                <w:highlight w:val="none"/>
                <w:lang w:val="en-US" w:eastAsia="zh-CN"/>
              </w:rPr>
            </w:pPr>
            <w:r>
              <w:rPr>
                <w:rFonts w:hint="eastAsia"/>
                <w:highlight w:val="none"/>
                <w:lang w:val="en-US" w:eastAsia="zh-CN"/>
              </w:rPr>
              <w:t>3</w:t>
            </w: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bl>
    <w:p>
      <w:pPr>
        <w:spacing w:after="0" w:line="240" w:lineRule="auto"/>
        <w:ind w:left="1316" w:hanging="1316" w:hangingChars="700"/>
        <w:rPr>
          <w:rFonts w:hint="eastAsia" w:ascii="黑体" w:hAnsi="黑体" w:eastAsia="黑体"/>
          <w:spacing w:val="-11"/>
          <w:highlight w:val="none"/>
          <w:lang w:val="en-US"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科技成果转化</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3项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前3项</w:t>
      </w:r>
      <w:r>
        <w:rPr>
          <w:rFonts w:hint="eastAsia" w:ascii="黑体" w:hAnsi="黑体" w:eastAsia="黑体"/>
          <w:spacing w:val="-11"/>
          <w:highlight w:val="none"/>
        </w:rPr>
        <w:t>为准</w:t>
      </w:r>
      <w:r>
        <w:rPr>
          <w:rFonts w:hint="eastAsia" w:ascii="黑体" w:hAnsi="黑体" w:eastAsia="黑体"/>
          <w:spacing w:val="-11"/>
          <w:highlight w:val="none"/>
          <w:lang w:val="en-US" w:eastAsia="zh-CN"/>
        </w:rPr>
        <w:t>。</w:t>
      </w: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p>
      <w:pPr>
        <w:spacing w:after="0" w:line="240" w:lineRule="auto"/>
        <w:rPr>
          <w:rFonts w:ascii="KaiTi_GB2312" w:eastAsia="KaiTi_GB2312"/>
          <w:sz w:val="24"/>
          <w:szCs w:val="28"/>
          <w:highlight w:val="none"/>
        </w:rPr>
      </w:pPr>
    </w:p>
    <w:tbl>
      <w:tblPr>
        <w:tblStyle w:val="5"/>
        <w:tblW w:w="143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05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vAlign w:val="top"/>
          </w:tcPr>
          <w:p>
            <w:pPr>
              <w:spacing w:after="0" w:line="240" w:lineRule="auto"/>
              <w:rPr>
                <w:rFonts w:ascii="KaiTi_GB2312" w:eastAsia="KaiTi_GB2312"/>
                <w:sz w:val="24"/>
                <w:szCs w:val="28"/>
                <w:highlight w:val="none"/>
              </w:rPr>
            </w:pPr>
          </w:p>
        </w:tc>
        <w:tc>
          <w:tcPr>
            <w:tcW w:w="677"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1</w:t>
            </w:r>
          </w:p>
        </w:tc>
        <w:tc>
          <w:tcPr>
            <w:tcW w:w="4563"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1"/>
                <w:szCs w:val="21"/>
                <w:highlight w:val="none"/>
                <w:lang w:val="en-US" w:eastAsia="zh-CN"/>
              </w:rPr>
              <w:t>优秀青年骨干教师</w:t>
            </w:r>
          </w:p>
        </w:tc>
        <w:tc>
          <w:tcPr>
            <w:tcW w:w="1058"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校级</w:t>
            </w:r>
          </w:p>
        </w:tc>
        <w:tc>
          <w:tcPr>
            <w:tcW w:w="1769"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1"/>
                <w:szCs w:val="21"/>
                <w:highlight w:val="none"/>
                <w:lang w:val="en-US" w:eastAsia="zh-CN"/>
              </w:rPr>
              <w:t>南京中医药大学</w:t>
            </w:r>
          </w:p>
        </w:tc>
        <w:tc>
          <w:tcPr>
            <w:tcW w:w="1073"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1"/>
                <w:szCs w:val="21"/>
                <w:highlight w:val="none"/>
                <w:lang w:val="en-US" w:eastAsia="zh-CN"/>
              </w:rPr>
              <w:t>2023年</w:t>
            </w:r>
          </w:p>
        </w:tc>
        <w:tc>
          <w:tcPr>
            <w:tcW w:w="1074" w:type="dxa"/>
            <w:vAlign w:val="center"/>
          </w:tcPr>
          <w:p>
            <w:pPr>
              <w:spacing w:after="0" w:line="240" w:lineRule="auto"/>
              <w:jc w:val="center"/>
              <w:rPr>
                <w:rFonts w:hint="eastAsia" w:ascii="KaiTi_GB2312" w:eastAsia="KaiTi_GB2312"/>
                <w:color w:val="000000"/>
                <w:highlight w:val="none"/>
                <w:lang w:val="en-US" w:eastAsia="zh-CN"/>
              </w:rPr>
            </w:pPr>
            <w:r>
              <w:rPr>
                <w:rFonts w:hint="eastAsia" w:ascii="KaiTi_GB2312" w:eastAsia="KaiTi_GB2312"/>
                <w:color w:val="000000"/>
                <w:highlight w:val="none"/>
                <w:lang w:val="en-US" w:eastAsia="zh-CN"/>
              </w:rPr>
              <w:t>1</w:t>
            </w:r>
          </w:p>
        </w:tc>
        <w:tc>
          <w:tcPr>
            <w:tcW w:w="1200" w:type="dxa"/>
            <w:vAlign w:val="center"/>
          </w:tcPr>
          <w:p>
            <w:pPr>
              <w:spacing w:after="0" w:line="240" w:lineRule="auto"/>
              <w:jc w:val="center"/>
              <w:rPr>
                <w:rFonts w:ascii="KaiTi_GB2312" w:eastAsia="KaiTi_GB2312"/>
                <w:color w:val="000000"/>
                <w:highlight w:val="none"/>
              </w:rPr>
            </w:pPr>
          </w:p>
        </w:tc>
        <w:tc>
          <w:tcPr>
            <w:tcW w:w="190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vAlign w:val="top"/>
          </w:tcPr>
          <w:p>
            <w:pPr>
              <w:spacing w:after="0" w:line="240" w:lineRule="auto"/>
              <w:rPr>
                <w:rFonts w:ascii="KaiTi_GB2312" w:eastAsia="KaiTi_GB2312"/>
                <w:sz w:val="24"/>
                <w:szCs w:val="28"/>
                <w:highlight w:val="none"/>
              </w:rPr>
            </w:pPr>
          </w:p>
        </w:tc>
        <w:tc>
          <w:tcPr>
            <w:tcW w:w="677"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w:t>
            </w:r>
          </w:p>
        </w:tc>
        <w:tc>
          <w:tcPr>
            <w:tcW w:w="4563" w:type="dxa"/>
            <w:vAlign w:val="top"/>
          </w:tcPr>
          <w:p>
            <w:pPr>
              <w:spacing w:after="0" w:line="240" w:lineRule="auto"/>
              <w:jc w:val="center"/>
              <w:rPr>
                <w:rFonts w:ascii="KaiTi_GB2312" w:eastAsia="KaiTi_GB2312"/>
                <w:sz w:val="24"/>
                <w:szCs w:val="28"/>
                <w:highlight w:val="none"/>
              </w:rPr>
            </w:pPr>
          </w:p>
        </w:tc>
        <w:tc>
          <w:tcPr>
            <w:tcW w:w="1058" w:type="dxa"/>
            <w:vAlign w:val="top"/>
          </w:tcPr>
          <w:p>
            <w:pPr>
              <w:spacing w:after="0" w:line="240" w:lineRule="auto"/>
              <w:jc w:val="center"/>
              <w:rPr>
                <w:rFonts w:ascii="KaiTi_GB2312" w:eastAsia="KaiTi_GB2312"/>
                <w:sz w:val="24"/>
                <w:szCs w:val="28"/>
                <w:highlight w:val="none"/>
              </w:rPr>
            </w:pPr>
          </w:p>
        </w:tc>
        <w:tc>
          <w:tcPr>
            <w:tcW w:w="1769" w:type="dxa"/>
            <w:vAlign w:val="top"/>
          </w:tcPr>
          <w:p>
            <w:pPr>
              <w:spacing w:after="0" w:line="240" w:lineRule="auto"/>
              <w:jc w:val="center"/>
              <w:rPr>
                <w:rFonts w:ascii="KaiTi_GB2312" w:eastAsia="KaiTi_GB2312"/>
                <w:sz w:val="24"/>
                <w:szCs w:val="28"/>
                <w:highlight w:val="none"/>
              </w:rPr>
            </w:pPr>
          </w:p>
        </w:tc>
        <w:tc>
          <w:tcPr>
            <w:tcW w:w="1073" w:type="dxa"/>
            <w:vAlign w:val="top"/>
          </w:tcPr>
          <w:p>
            <w:pPr>
              <w:spacing w:after="0" w:line="240" w:lineRule="auto"/>
              <w:jc w:val="center"/>
              <w:rPr>
                <w:rFonts w:ascii="KaiTi_GB2312" w:eastAsia="KaiTi_GB2312"/>
                <w:sz w:val="24"/>
                <w:szCs w:val="28"/>
                <w:highlight w:val="none"/>
              </w:rPr>
            </w:pPr>
          </w:p>
        </w:tc>
        <w:tc>
          <w:tcPr>
            <w:tcW w:w="1074" w:type="dxa"/>
            <w:vAlign w:val="top"/>
          </w:tcPr>
          <w:p>
            <w:pPr>
              <w:spacing w:after="0" w:line="240" w:lineRule="auto"/>
              <w:jc w:val="center"/>
              <w:rPr>
                <w:rFonts w:ascii="KaiTi_GB2312" w:eastAsia="KaiTi_GB2312"/>
                <w:sz w:val="24"/>
                <w:szCs w:val="28"/>
                <w:highlight w:val="none"/>
              </w:rPr>
            </w:pPr>
          </w:p>
        </w:tc>
        <w:tc>
          <w:tcPr>
            <w:tcW w:w="1200" w:type="dxa"/>
            <w:vAlign w:val="top"/>
          </w:tcPr>
          <w:p>
            <w:pPr>
              <w:spacing w:after="0" w:line="240" w:lineRule="auto"/>
              <w:jc w:val="center"/>
              <w:rPr>
                <w:rFonts w:ascii="KaiTi_GB2312" w:eastAsia="KaiTi_GB2312"/>
                <w:sz w:val="24"/>
                <w:szCs w:val="28"/>
                <w:highlight w:val="none"/>
              </w:rPr>
            </w:pPr>
          </w:p>
        </w:tc>
        <w:tc>
          <w:tcPr>
            <w:tcW w:w="1905" w:type="dxa"/>
            <w:vAlign w:val="top"/>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vAlign w:val="top"/>
          </w:tcPr>
          <w:p>
            <w:pPr>
              <w:spacing w:after="0" w:line="240" w:lineRule="auto"/>
              <w:rPr>
                <w:rFonts w:ascii="KaiTi_GB2312" w:eastAsia="KaiTi_GB2312"/>
                <w:sz w:val="24"/>
                <w:szCs w:val="28"/>
                <w:highlight w:val="none"/>
              </w:rPr>
            </w:pPr>
          </w:p>
        </w:tc>
        <w:tc>
          <w:tcPr>
            <w:tcW w:w="677"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3</w:t>
            </w:r>
          </w:p>
        </w:tc>
        <w:tc>
          <w:tcPr>
            <w:tcW w:w="4563" w:type="dxa"/>
            <w:vAlign w:val="top"/>
          </w:tcPr>
          <w:p>
            <w:pPr>
              <w:spacing w:after="0" w:line="240" w:lineRule="auto"/>
              <w:jc w:val="center"/>
              <w:rPr>
                <w:rFonts w:ascii="KaiTi_GB2312" w:eastAsia="KaiTi_GB2312"/>
                <w:sz w:val="24"/>
                <w:szCs w:val="28"/>
                <w:highlight w:val="none"/>
              </w:rPr>
            </w:pPr>
          </w:p>
        </w:tc>
        <w:tc>
          <w:tcPr>
            <w:tcW w:w="1058" w:type="dxa"/>
            <w:vAlign w:val="top"/>
          </w:tcPr>
          <w:p>
            <w:pPr>
              <w:spacing w:after="0" w:line="240" w:lineRule="auto"/>
              <w:jc w:val="center"/>
              <w:rPr>
                <w:rFonts w:ascii="KaiTi_GB2312" w:eastAsia="KaiTi_GB2312"/>
                <w:sz w:val="24"/>
                <w:szCs w:val="28"/>
                <w:highlight w:val="none"/>
              </w:rPr>
            </w:pPr>
          </w:p>
        </w:tc>
        <w:tc>
          <w:tcPr>
            <w:tcW w:w="1769" w:type="dxa"/>
            <w:vAlign w:val="top"/>
          </w:tcPr>
          <w:p>
            <w:pPr>
              <w:spacing w:after="0" w:line="240" w:lineRule="auto"/>
              <w:jc w:val="center"/>
              <w:rPr>
                <w:rFonts w:ascii="KaiTi_GB2312" w:eastAsia="KaiTi_GB2312"/>
                <w:sz w:val="24"/>
                <w:szCs w:val="28"/>
                <w:highlight w:val="none"/>
              </w:rPr>
            </w:pPr>
          </w:p>
        </w:tc>
        <w:tc>
          <w:tcPr>
            <w:tcW w:w="1073" w:type="dxa"/>
            <w:vAlign w:val="top"/>
          </w:tcPr>
          <w:p>
            <w:pPr>
              <w:spacing w:after="0" w:line="240" w:lineRule="auto"/>
              <w:jc w:val="center"/>
              <w:rPr>
                <w:rFonts w:ascii="KaiTi_GB2312" w:eastAsia="KaiTi_GB2312"/>
                <w:sz w:val="24"/>
                <w:szCs w:val="28"/>
                <w:highlight w:val="none"/>
              </w:rPr>
            </w:pPr>
          </w:p>
        </w:tc>
        <w:tc>
          <w:tcPr>
            <w:tcW w:w="1074" w:type="dxa"/>
            <w:vAlign w:val="top"/>
          </w:tcPr>
          <w:p>
            <w:pPr>
              <w:spacing w:after="0" w:line="240" w:lineRule="auto"/>
              <w:jc w:val="center"/>
              <w:rPr>
                <w:rFonts w:ascii="KaiTi_GB2312" w:eastAsia="KaiTi_GB2312"/>
                <w:sz w:val="24"/>
                <w:szCs w:val="28"/>
                <w:highlight w:val="none"/>
              </w:rPr>
            </w:pPr>
          </w:p>
        </w:tc>
        <w:tc>
          <w:tcPr>
            <w:tcW w:w="1200" w:type="dxa"/>
            <w:vAlign w:val="top"/>
          </w:tcPr>
          <w:p>
            <w:pPr>
              <w:spacing w:after="0" w:line="240" w:lineRule="auto"/>
              <w:jc w:val="center"/>
              <w:rPr>
                <w:rFonts w:ascii="KaiTi_GB2312" w:eastAsia="KaiTi_GB2312"/>
                <w:sz w:val="24"/>
                <w:szCs w:val="28"/>
                <w:highlight w:val="none"/>
              </w:rPr>
            </w:pPr>
          </w:p>
        </w:tc>
        <w:tc>
          <w:tcPr>
            <w:tcW w:w="1905" w:type="dxa"/>
            <w:vAlign w:val="top"/>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vAlign w:val="top"/>
          </w:tcPr>
          <w:p>
            <w:pPr>
              <w:spacing w:after="0" w:line="240" w:lineRule="auto"/>
              <w:rPr>
                <w:rFonts w:ascii="KaiTi_GB2312" w:eastAsia="KaiTi_GB2312"/>
                <w:sz w:val="24"/>
                <w:szCs w:val="28"/>
                <w:highlight w:val="none"/>
              </w:rPr>
            </w:pPr>
          </w:p>
        </w:tc>
        <w:tc>
          <w:tcPr>
            <w:tcW w:w="677"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4</w:t>
            </w:r>
          </w:p>
        </w:tc>
        <w:tc>
          <w:tcPr>
            <w:tcW w:w="4563" w:type="dxa"/>
            <w:vAlign w:val="top"/>
          </w:tcPr>
          <w:p>
            <w:pPr>
              <w:spacing w:after="0" w:line="240" w:lineRule="auto"/>
              <w:jc w:val="center"/>
              <w:rPr>
                <w:rFonts w:ascii="KaiTi_GB2312" w:eastAsia="KaiTi_GB2312"/>
                <w:sz w:val="24"/>
                <w:szCs w:val="28"/>
                <w:highlight w:val="none"/>
              </w:rPr>
            </w:pPr>
          </w:p>
        </w:tc>
        <w:tc>
          <w:tcPr>
            <w:tcW w:w="1058" w:type="dxa"/>
            <w:vAlign w:val="top"/>
          </w:tcPr>
          <w:p>
            <w:pPr>
              <w:spacing w:after="0" w:line="240" w:lineRule="auto"/>
              <w:jc w:val="center"/>
              <w:rPr>
                <w:rFonts w:ascii="KaiTi_GB2312" w:eastAsia="KaiTi_GB2312"/>
                <w:sz w:val="24"/>
                <w:szCs w:val="28"/>
                <w:highlight w:val="none"/>
              </w:rPr>
            </w:pPr>
          </w:p>
        </w:tc>
        <w:tc>
          <w:tcPr>
            <w:tcW w:w="1769" w:type="dxa"/>
            <w:vAlign w:val="top"/>
          </w:tcPr>
          <w:p>
            <w:pPr>
              <w:spacing w:after="0" w:line="240" w:lineRule="auto"/>
              <w:jc w:val="center"/>
              <w:rPr>
                <w:rFonts w:ascii="KaiTi_GB2312" w:eastAsia="KaiTi_GB2312"/>
                <w:sz w:val="24"/>
                <w:szCs w:val="28"/>
                <w:highlight w:val="none"/>
              </w:rPr>
            </w:pPr>
          </w:p>
        </w:tc>
        <w:tc>
          <w:tcPr>
            <w:tcW w:w="1073" w:type="dxa"/>
            <w:vAlign w:val="top"/>
          </w:tcPr>
          <w:p>
            <w:pPr>
              <w:spacing w:after="0" w:line="240" w:lineRule="auto"/>
              <w:jc w:val="center"/>
              <w:rPr>
                <w:rFonts w:ascii="KaiTi_GB2312" w:eastAsia="KaiTi_GB2312"/>
                <w:sz w:val="24"/>
                <w:szCs w:val="28"/>
                <w:highlight w:val="none"/>
              </w:rPr>
            </w:pPr>
          </w:p>
        </w:tc>
        <w:tc>
          <w:tcPr>
            <w:tcW w:w="1074" w:type="dxa"/>
            <w:vAlign w:val="top"/>
          </w:tcPr>
          <w:p>
            <w:pPr>
              <w:spacing w:after="0" w:line="240" w:lineRule="auto"/>
              <w:jc w:val="center"/>
              <w:rPr>
                <w:rFonts w:ascii="KaiTi_GB2312" w:eastAsia="KaiTi_GB2312"/>
                <w:sz w:val="24"/>
                <w:szCs w:val="28"/>
                <w:highlight w:val="none"/>
              </w:rPr>
            </w:pPr>
          </w:p>
        </w:tc>
        <w:tc>
          <w:tcPr>
            <w:tcW w:w="1200" w:type="dxa"/>
            <w:vAlign w:val="top"/>
          </w:tcPr>
          <w:p>
            <w:pPr>
              <w:spacing w:after="0" w:line="240" w:lineRule="auto"/>
              <w:jc w:val="center"/>
              <w:rPr>
                <w:rFonts w:ascii="KaiTi_GB2312" w:eastAsia="KaiTi_GB2312"/>
                <w:sz w:val="24"/>
                <w:szCs w:val="28"/>
                <w:highlight w:val="none"/>
              </w:rPr>
            </w:pPr>
          </w:p>
        </w:tc>
        <w:tc>
          <w:tcPr>
            <w:tcW w:w="1905" w:type="dxa"/>
            <w:vAlign w:val="top"/>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vAlign w:val="top"/>
          </w:tcPr>
          <w:p>
            <w:pPr>
              <w:spacing w:after="0" w:line="240" w:lineRule="auto"/>
              <w:rPr>
                <w:rFonts w:ascii="KaiTi_GB2312" w:eastAsia="KaiTi_GB2312"/>
                <w:sz w:val="24"/>
                <w:szCs w:val="28"/>
                <w:highlight w:val="none"/>
              </w:rPr>
            </w:pPr>
          </w:p>
        </w:tc>
        <w:tc>
          <w:tcPr>
            <w:tcW w:w="677" w:type="dxa"/>
            <w:vAlign w:val="top"/>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5</w:t>
            </w:r>
          </w:p>
        </w:tc>
        <w:tc>
          <w:tcPr>
            <w:tcW w:w="4563" w:type="dxa"/>
            <w:vAlign w:val="top"/>
          </w:tcPr>
          <w:p>
            <w:pPr>
              <w:spacing w:after="0" w:line="240" w:lineRule="auto"/>
              <w:jc w:val="center"/>
              <w:rPr>
                <w:rFonts w:ascii="KaiTi_GB2312" w:eastAsia="KaiTi_GB2312"/>
                <w:sz w:val="24"/>
                <w:szCs w:val="28"/>
                <w:highlight w:val="none"/>
              </w:rPr>
            </w:pPr>
          </w:p>
        </w:tc>
        <w:tc>
          <w:tcPr>
            <w:tcW w:w="1058" w:type="dxa"/>
            <w:vAlign w:val="top"/>
          </w:tcPr>
          <w:p>
            <w:pPr>
              <w:spacing w:after="0" w:line="240" w:lineRule="auto"/>
              <w:jc w:val="center"/>
              <w:rPr>
                <w:rFonts w:ascii="KaiTi_GB2312" w:eastAsia="KaiTi_GB2312"/>
                <w:sz w:val="24"/>
                <w:szCs w:val="28"/>
                <w:highlight w:val="none"/>
              </w:rPr>
            </w:pPr>
          </w:p>
        </w:tc>
        <w:tc>
          <w:tcPr>
            <w:tcW w:w="1769" w:type="dxa"/>
            <w:vAlign w:val="top"/>
          </w:tcPr>
          <w:p>
            <w:pPr>
              <w:spacing w:after="0" w:line="240" w:lineRule="auto"/>
              <w:jc w:val="center"/>
              <w:rPr>
                <w:rFonts w:ascii="KaiTi_GB2312" w:eastAsia="KaiTi_GB2312"/>
                <w:sz w:val="24"/>
                <w:szCs w:val="28"/>
                <w:highlight w:val="none"/>
              </w:rPr>
            </w:pPr>
          </w:p>
        </w:tc>
        <w:tc>
          <w:tcPr>
            <w:tcW w:w="1073" w:type="dxa"/>
            <w:vAlign w:val="top"/>
          </w:tcPr>
          <w:p>
            <w:pPr>
              <w:spacing w:after="0" w:line="240" w:lineRule="auto"/>
              <w:jc w:val="center"/>
              <w:rPr>
                <w:rFonts w:ascii="KaiTi_GB2312" w:eastAsia="KaiTi_GB2312"/>
                <w:sz w:val="24"/>
                <w:szCs w:val="28"/>
                <w:highlight w:val="none"/>
              </w:rPr>
            </w:pPr>
          </w:p>
        </w:tc>
        <w:tc>
          <w:tcPr>
            <w:tcW w:w="1074" w:type="dxa"/>
            <w:vAlign w:val="top"/>
          </w:tcPr>
          <w:p>
            <w:pPr>
              <w:spacing w:after="0" w:line="240" w:lineRule="auto"/>
              <w:jc w:val="center"/>
              <w:rPr>
                <w:rFonts w:ascii="KaiTi_GB2312" w:eastAsia="KaiTi_GB2312"/>
                <w:sz w:val="24"/>
                <w:szCs w:val="28"/>
                <w:highlight w:val="none"/>
              </w:rPr>
            </w:pPr>
          </w:p>
        </w:tc>
        <w:tc>
          <w:tcPr>
            <w:tcW w:w="1200" w:type="dxa"/>
            <w:vAlign w:val="top"/>
          </w:tcPr>
          <w:p>
            <w:pPr>
              <w:spacing w:after="0" w:line="240" w:lineRule="auto"/>
              <w:jc w:val="center"/>
              <w:rPr>
                <w:rFonts w:ascii="KaiTi_GB2312" w:eastAsia="KaiTi_GB2312"/>
                <w:sz w:val="24"/>
                <w:szCs w:val="28"/>
                <w:highlight w:val="none"/>
              </w:rPr>
            </w:pPr>
          </w:p>
        </w:tc>
        <w:tc>
          <w:tcPr>
            <w:tcW w:w="1905" w:type="dxa"/>
            <w:vAlign w:val="top"/>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308" w:type="dxa"/>
            <w:gridSpan w:val="4"/>
            <w:vAlign w:val="center"/>
          </w:tcPr>
          <w:p>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2842" w:type="dxa"/>
            <w:gridSpan w:val="2"/>
            <w:vAlign w:val="center"/>
          </w:tcPr>
          <w:p>
            <w:pPr>
              <w:spacing w:after="0" w:line="240" w:lineRule="auto"/>
              <w:rPr>
                <w:rFonts w:ascii="KaiTi_GB2312" w:eastAsia="KaiTi_GB2312"/>
                <w:highlight w:val="none"/>
              </w:rPr>
            </w:pPr>
            <w:r>
              <w:rPr>
                <w:rFonts w:hint="eastAsia" w:ascii="KaiTi_GB2312" w:eastAsia="KaiTi_GB2312"/>
                <w:highlight w:val="none"/>
              </w:rPr>
              <w:t>□符合</w:t>
            </w:r>
          </w:p>
          <w:p>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vAlign w:val="top"/>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hint="eastAsia" w:ascii="黑体" w:hAnsi="黑体" w:eastAsia="黑体"/>
          <w:spacing w:val="-11"/>
          <w:highlight w:val="none"/>
          <w:lang w:eastAsia="zh-CN"/>
        </w:rPr>
      </w:pPr>
      <w:r>
        <w:rPr>
          <w:rFonts w:hint="eastAsia" w:ascii="黑体" w:hAnsi="黑体" w:eastAsia="黑体"/>
          <w:spacing w:val="-11"/>
          <w:highlight w:val="none"/>
        </w:rPr>
        <w:t>★重要说明：</w:t>
      </w:r>
      <w:r>
        <w:rPr>
          <w:rFonts w:hint="eastAsia" w:ascii="黑体" w:hAnsi="黑体" w:eastAsia="黑体"/>
          <w:spacing w:val="-11"/>
          <w:highlight w:val="none"/>
          <w:lang w:val="en-US" w:eastAsia="zh-CN"/>
        </w:rPr>
        <w:t>1.</w:t>
      </w:r>
      <w:r>
        <w:rPr>
          <w:rFonts w:hint="eastAsia" w:ascii="黑体" w:hAnsi="黑体" w:eastAsia="黑体"/>
          <w:spacing w:val="-11"/>
          <w:highlight w:val="none"/>
        </w:rPr>
        <w:t>本年度专业技术职务申报者提交的任现职以来的</w:t>
      </w:r>
      <w:r>
        <w:rPr>
          <w:rFonts w:hint="eastAsia" w:ascii="黑体" w:hAnsi="黑体" w:eastAsia="黑体"/>
          <w:spacing w:val="-11"/>
          <w:highlight w:val="none"/>
          <w:lang w:val="en-US" w:eastAsia="zh-CN"/>
        </w:rPr>
        <w:t>重要获奖及荣誉称号</w:t>
      </w:r>
      <w:r>
        <w:rPr>
          <w:rFonts w:hint="eastAsia" w:ascii="黑体" w:hAnsi="黑体" w:eastAsia="黑体"/>
          <w:spacing w:val="-11"/>
          <w:highlight w:val="none"/>
        </w:rPr>
        <w:t>不得超过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。如填写超过</w:t>
      </w:r>
      <w:r>
        <w:rPr>
          <w:rFonts w:hint="eastAsia" w:ascii="黑体" w:hAnsi="黑体" w:eastAsia="黑体"/>
          <w:spacing w:val="-11"/>
          <w:highlight w:val="none"/>
          <w:lang w:val="en-US" w:eastAsia="zh-CN"/>
        </w:rPr>
        <w:t>5项</w:t>
      </w:r>
      <w:r>
        <w:rPr>
          <w:rFonts w:hint="eastAsia" w:ascii="黑体" w:hAnsi="黑体" w:eastAsia="黑体"/>
          <w:spacing w:val="-11"/>
          <w:highlight w:val="none"/>
        </w:rPr>
        <w:t>，以申报人按序填写的</w:t>
      </w:r>
      <w:r>
        <w:rPr>
          <w:rFonts w:hint="eastAsia" w:ascii="黑体" w:hAnsi="黑体" w:eastAsia="黑体"/>
          <w:spacing w:val="-11"/>
          <w:highlight w:val="none"/>
          <w:lang w:val="en-US" w:eastAsia="zh-CN"/>
        </w:rPr>
        <w:t>前5项</w:t>
      </w:r>
      <w:r>
        <w:rPr>
          <w:rFonts w:hint="eastAsia" w:ascii="黑体" w:hAnsi="黑体" w:eastAsia="黑体"/>
          <w:spacing w:val="-11"/>
          <w:highlight w:val="none"/>
        </w:rPr>
        <w:t>为准</w:t>
      </w:r>
      <w:r>
        <w:rPr>
          <w:rFonts w:hint="eastAsia" w:ascii="黑体" w:hAnsi="黑体" w:eastAsia="黑体"/>
          <w:spacing w:val="-11"/>
          <w:highlight w:val="none"/>
          <w:lang w:eastAsia="zh-CN"/>
        </w:rPr>
        <w:t>。</w:t>
      </w:r>
    </w:p>
    <w:p>
      <w:pPr>
        <w:spacing w:after="0" w:line="240" w:lineRule="auto"/>
        <w:ind w:left="1316" w:hanging="1316" w:hangingChars="700"/>
        <w:rPr>
          <w:rFonts w:hint="eastAsia" w:ascii="黑体" w:hAnsi="黑体" w:eastAsia="黑体"/>
          <w:spacing w:val="-11"/>
          <w:highlight w:val="none"/>
          <w:lang w:eastAsia="zh-CN"/>
        </w:rPr>
      </w:pPr>
    </w:p>
    <w:p>
      <w:pPr>
        <w:spacing w:after="0" w:line="240" w:lineRule="auto"/>
        <w:ind w:left="1316" w:hanging="1316" w:hangingChars="700"/>
        <w:rPr>
          <w:rFonts w:hint="eastAsia" w:ascii="黑体" w:hAnsi="黑体" w:eastAsia="黑体"/>
          <w:spacing w:val="-11"/>
          <w:highlight w:val="none"/>
          <w:lang w:eastAsia="zh-CN"/>
        </w:rPr>
      </w:pPr>
    </w:p>
    <w:tbl>
      <w:tblPr>
        <w:tblStyle w:val="5"/>
        <w:tblpPr w:leftFromText="180" w:rightFromText="180" w:vertAnchor="text" w:horzAnchor="page" w:tblpX="1532" w:tblpYSpec="inside"/>
        <w:tblOverlap w:val="never"/>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487"/>
        <w:gridCol w:w="2487"/>
        <w:gridCol w:w="379"/>
        <w:gridCol w:w="2456"/>
        <w:gridCol w:w="709"/>
        <w:gridCol w:w="1417"/>
        <w:gridCol w:w="567"/>
        <w:gridCol w:w="709"/>
        <w:gridCol w:w="85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5"/>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vAlign w:val="top"/>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EUS/ESD高级研修班</w:t>
            </w:r>
          </w:p>
        </w:tc>
        <w:tc>
          <w:tcPr>
            <w:tcW w:w="2456" w:type="dxa"/>
            <w:vAlign w:val="center"/>
          </w:tcPr>
          <w:p>
            <w:pPr>
              <w:spacing w:after="0" w:line="240" w:lineRule="auto"/>
              <w:jc w:val="center"/>
              <w:rPr>
                <w:rFonts w:hint="eastAsia" w:ascii="KaiTi_GB2312" w:eastAsia="KaiTi_GB2312"/>
                <w:sz w:val="24"/>
                <w:szCs w:val="28"/>
                <w:highlight w:val="none"/>
                <w:lang w:val="en-US" w:eastAsia="zh-CN"/>
              </w:rPr>
            </w:pPr>
            <w:r>
              <w:rPr>
                <w:rFonts w:hint="eastAsia" w:ascii="KaiTi_GB2312" w:eastAsia="KaiTi_GB2312"/>
                <w:sz w:val="24"/>
                <w:szCs w:val="28"/>
                <w:highlight w:val="none"/>
                <w:lang w:val="en-US" w:eastAsia="zh-CN"/>
              </w:rPr>
              <w:t>2018.3-2019.3</w:t>
            </w: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vAlign w:val="top"/>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vAlign w:val="top"/>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vAlign w:val="top"/>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vAlign w:val="top"/>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vAlign w:val="top"/>
          </w:tcPr>
          <w:p>
            <w:pPr>
              <w:spacing w:after="0" w:line="240" w:lineRule="auto"/>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执业单位（机构）名称</w:t>
            </w:r>
          </w:p>
        </w:tc>
        <w:tc>
          <w:tcPr>
            <w:tcW w:w="11466" w:type="dxa"/>
            <w:gridSpan w:val="9"/>
            <w:vAlign w:val="center"/>
          </w:tcPr>
          <w:p>
            <w:pPr>
              <w:spacing w:after="0" w:line="240" w:lineRule="auto"/>
              <w:jc w:val="center"/>
              <w:rPr>
                <w:rFonts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sz w:val="20"/>
                <w:szCs w:val="22"/>
                <w:highlight w:val="none"/>
              </w:rPr>
            </w:pPr>
            <w:r>
              <w:rPr>
                <w:rFonts w:eastAsia="KaiTi_GB2312"/>
                <w:sz w:val="20"/>
                <w:szCs w:val="22"/>
                <w:highlight w:val="none"/>
              </w:rPr>
              <w:t>从事临床工作时间</w:t>
            </w:r>
          </w:p>
          <w:p>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2</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5"/>
            <w:vAlign w:val="center"/>
          </w:tcPr>
          <w:p>
            <w:pPr>
              <w:spacing w:after="0" w:line="240" w:lineRule="auto"/>
              <w:jc w:val="center"/>
              <w:rPr>
                <w:rFonts w:eastAsia="KaiTi_GB2312"/>
                <w:highlight w:val="none"/>
              </w:rPr>
            </w:pPr>
            <w:r>
              <w:rPr>
                <w:rFonts w:eastAsia="KaiTi_GB2312"/>
                <w:highlight w:val="none"/>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项目/年度</w:t>
            </w:r>
          </w:p>
        </w:tc>
        <w:tc>
          <w:tcPr>
            <w:tcW w:w="2487" w:type="dxa"/>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3</w:t>
            </w:r>
            <w:r>
              <w:rPr>
                <w:rFonts w:eastAsia="KaiTi_GB2312"/>
                <w:highlight w:val="none"/>
              </w:rPr>
              <w:t>年</w:t>
            </w:r>
          </w:p>
        </w:tc>
        <w:tc>
          <w:tcPr>
            <w:tcW w:w="3544"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2</w:t>
            </w:r>
            <w:r>
              <w:rPr>
                <w:rFonts w:eastAsia="KaiTi_GB2312"/>
                <w:highlight w:val="none"/>
              </w:rPr>
              <w:t>年</w:t>
            </w:r>
          </w:p>
        </w:tc>
        <w:tc>
          <w:tcPr>
            <w:tcW w:w="2693"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21</w:t>
            </w:r>
            <w:r>
              <w:rPr>
                <w:rFonts w:eastAsia="KaiTi_GB2312"/>
                <w:highlight w:val="none"/>
              </w:rPr>
              <w:t>年</w:t>
            </w:r>
          </w:p>
        </w:tc>
        <w:tc>
          <w:tcPr>
            <w:tcW w:w="2742"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highlight w:val="none"/>
              </w:rPr>
            </w:pPr>
          </w:p>
        </w:tc>
        <w:tc>
          <w:tcPr>
            <w:tcW w:w="2693" w:type="dxa"/>
            <w:gridSpan w:val="3"/>
            <w:vAlign w:val="center"/>
          </w:tcPr>
          <w:p>
            <w:pPr>
              <w:spacing w:after="0" w:line="240" w:lineRule="auto"/>
              <w:jc w:val="center"/>
              <w:rPr>
                <w:rFonts w:eastAsia="KaiTi_GB2312"/>
                <w:highlight w:val="none"/>
              </w:rPr>
            </w:pPr>
          </w:p>
        </w:tc>
        <w:tc>
          <w:tcPr>
            <w:tcW w:w="2742" w:type="dxa"/>
            <w:gridSpan w:val="2"/>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pPr>
              <w:spacing w:after="0" w:line="240" w:lineRule="auto"/>
              <w:jc w:val="left"/>
              <w:rPr>
                <w:rFonts w:ascii="KaiTi_GB2312" w:eastAsia="KaiTi_GB2312"/>
                <w:highlight w:val="none"/>
              </w:rPr>
            </w:pPr>
            <w:r>
              <w:rPr>
                <w:rFonts w:hint="eastAsia" w:ascii="KaiTi_GB2312" w:eastAsia="KaiTi_GB2312"/>
                <w:highlight w:val="none"/>
              </w:rPr>
              <w:t>□属实</w:t>
            </w:r>
          </w:p>
          <w:p>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5"/>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gridSpan w:val="6"/>
            <w:vAlign w:val="center"/>
          </w:tcPr>
          <w:p>
            <w:pPr>
              <w:spacing w:after="0" w:line="240" w:lineRule="auto"/>
              <w:rPr>
                <w:rFonts w:ascii="华文中宋" w:hAnsi="华文中宋" w:eastAsia="华文中宋"/>
                <w:b/>
                <w:highlight w:val="none"/>
              </w:rPr>
            </w:pPr>
            <w:r>
              <w:rPr>
                <w:rFonts w:hint="eastAsia" w:ascii="华文中宋" w:hAnsi="华文中宋" w:eastAsia="华文中宋"/>
                <w:b/>
                <w:highlight w:val="none"/>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本人签名</w:t>
            </w:r>
          </w:p>
          <w:p>
            <w:pPr>
              <w:spacing w:after="0" w:line="240" w:lineRule="auto"/>
              <w:jc w:val="center"/>
              <w:rPr>
                <w:rFonts w:ascii="KaiTi_GB2312" w:eastAsia="KaiTi_GB2312"/>
                <w:highlight w:val="none"/>
              </w:rPr>
            </w:pPr>
            <w:r>
              <w:rPr>
                <w:rFonts w:hint="eastAsia" w:ascii="KaiTi_GB2312" w:eastAsia="KaiTi_GB2312"/>
                <w:highlight w:val="none"/>
              </w:rPr>
              <w:t>（手写、不得打印）</w:t>
            </w:r>
          </w:p>
        </w:tc>
        <w:tc>
          <w:tcPr>
            <w:tcW w:w="3451" w:type="dxa"/>
            <w:gridSpan w:val="3"/>
            <w:vAlign w:val="center"/>
          </w:tcPr>
          <w:p>
            <w:pPr>
              <w:spacing w:after="0" w:line="240" w:lineRule="auto"/>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3451" w:type="dxa"/>
            <w:gridSpan w:val="3"/>
            <w:vAlign w:val="top"/>
          </w:tcPr>
          <w:p>
            <w:pPr>
              <w:spacing w:after="0" w:line="240" w:lineRule="auto"/>
              <w:jc w:val="left"/>
              <w:rPr>
                <w:rFonts w:ascii="KaiTi_GB2312" w:eastAsia="KaiTi_GB2312"/>
                <w:highlight w:val="none"/>
              </w:rPr>
            </w:pPr>
            <w:r>
              <w:rPr>
                <w:rFonts w:hint="eastAsia" w:ascii="KaiTi_GB2312" w:eastAsia="KaiTi_GB2312"/>
                <w:highlight w:val="none"/>
              </w:rPr>
              <w:t>单位（部门）主要</w:t>
            </w:r>
          </w:p>
          <w:p>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pPr>
        <w:spacing w:after="0" w:line="20" w:lineRule="exact"/>
        <w:rPr>
          <w:rFonts w:ascii="KaiTi_GB2312" w:eastAsia="KaiTi_GB2312"/>
          <w:sz w:val="2"/>
          <w:szCs w:val="2"/>
          <w:highlight w:val="none"/>
        </w:rPr>
      </w:pPr>
    </w:p>
    <w:p>
      <w:pPr>
        <w:spacing w:after="0" w:line="280" w:lineRule="exact"/>
        <w:rPr>
          <w:rFonts w:hint="eastAsia" w:ascii="黑体" w:hAnsi="黑体" w:eastAsia="黑体"/>
          <w:spacing w:val="-11"/>
          <w:highlight w:val="none"/>
          <w:lang w:eastAsia="zh-CN"/>
        </w:rPr>
      </w:pPr>
      <w:r>
        <w:rPr>
          <w:rFonts w:hint="eastAsia" w:ascii="黑体" w:hAnsi="黑体" w:eastAsia="黑体"/>
          <w:spacing w:val="-11"/>
          <w:highlight w:val="none"/>
          <w:lang w:val="en-US" w:eastAsia="zh-CN"/>
        </w:rPr>
        <w:t>说明：1.</w:t>
      </w:r>
      <w:r>
        <w:rPr>
          <w:rFonts w:hint="eastAsia" w:ascii="黑体" w:hAnsi="黑体" w:eastAsia="黑体"/>
          <w:spacing w:val="-11"/>
          <w:highlight w:val="none"/>
        </w:rPr>
        <w:t>申报人不得改变表格主要格式和栏目，以保持审查表的完整性；除审核栏及签名栏外，其余栏目手写无效</w:t>
      </w:r>
      <w:r>
        <w:rPr>
          <w:rFonts w:hint="eastAsia" w:ascii="黑体" w:hAnsi="黑体" w:eastAsia="黑体"/>
          <w:spacing w:val="-11"/>
          <w:highlight w:val="none"/>
          <w:lang w:eastAsia="zh-CN"/>
        </w:rPr>
        <w:t>；</w:t>
      </w:r>
    </w:p>
    <w:p>
      <w:pPr>
        <w:spacing w:after="0" w:line="280" w:lineRule="exact"/>
        <w:rPr>
          <w:rFonts w:ascii="黑体" w:hAnsi="黑体" w:eastAsia="黑体"/>
          <w:sz w:val="18"/>
          <w:szCs w:val="21"/>
          <w:highlight w:val="yellow"/>
        </w:rPr>
      </w:pPr>
      <w:r>
        <w:rPr>
          <w:rFonts w:hint="eastAsia" w:ascii="黑体" w:hAnsi="黑体" w:eastAsia="黑体"/>
          <w:spacing w:val="-11"/>
          <w:highlight w:val="none"/>
          <w:lang w:val="en-US" w:eastAsia="zh-CN"/>
        </w:rPr>
        <w:t xml:space="preserve">       2.</w:t>
      </w:r>
      <w:r>
        <w:rPr>
          <w:rFonts w:hint="eastAsia" w:ascii="黑体" w:hAnsi="黑体" w:eastAsia="黑体"/>
          <w:spacing w:val="-11"/>
          <w:highlight w:val="none"/>
        </w:rPr>
        <w:t>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KaiTi_GB2312">
    <w:altName w:val="楷体"/>
    <w:panose1 w:val="02010609060101010101"/>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DU2NmQ4NDA0MjUyNmFlOTU1NmY2NWEwNTUxMTA4NWQ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342540E"/>
    <w:rsid w:val="044200FD"/>
    <w:rsid w:val="04460D37"/>
    <w:rsid w:val="05183545"/>
    <w:rsid w:val="05673FB0"/>
    <w:rsid w:val="057428A9"/>
    <w:rsid w:val="05744AE5"/>
    <w:rsid w:val="05B3223F"/>
    <w:rsid w:val="05E23CCE"/>
    <w:rsid w:val="05E253D7"/>
    <w:rsid w:val="06A0763D"/>
    <w:rsid w:val="090537D6"/>
    <w:rsid w:val="09133BC6"/>
    <w:rsid w:val="096A659B"/>
    <w:rsid w:val="09AA1CCF"/>
    <w:rsid w:val="09AA2B07"/>
    <w:rsid w:val="0A40191B"/>
    <w:rsid w:val="0A8A5E59"/>
    <w:rsid w:val="0B365B11"/>
    <w:rsid w:val="0BB8447D"/>
    <w:rsid w:val="0F3A7115"/>
    <w:rsid w:val="0FCB4CF7"/>
    <w:rsid w:val="11C13A3E"/>
    <w:rsid w:val="153D4CB5"/>
    <w:rsid w:val="16B15FDF"/>
    <w:rsid w:val="170767D7"/>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584125"/>
    <w:rsid w:val="2C72005E"/>
    <w:rsid w:val="2E3F740F"/>
    <w:rsid w:val="30AC742E"/>
    <w:rsid w:val="312F1868"/>
    <w:rsid w:val="32416098"/>
    <w:rsid w:val="32E27594"/>
    <w:rsid w:val="332F73C6"/>
    <w:rsid w:val="33666E2C"/>
    <w:rsid w:val="355667E7"/>
    <w:rsid w:val="363F5855"/>
    <w:rsid w:val="37A725AE"/>
    <w:rsid w:val="39B7049B"/>
    <w:rsid w:val="3A581EFE"/>
    <w:rsid w:val="3BB24695"/>
    <w:rsid w:val="3F0E305B"/>
    <w:rsid w:val="401F76AD"/>
    <w:rsid w:val="40994E9A"/>
    <w:rsid w:val="413C2639"/>
    <w:rsid w:val="41A6718C"/>
    <w:rsid w:val="41FC2F29"/>
    <w:rsid w:val="44A5484E"/>
    <w:rsid w:val="44B6394B"/>
    <w:rsid w:val="44C714E1"/>
    <w:rsid w:val="44F3072F"/>
    <w:rsid w:val="459F708E"/>
    <w:rsid w:val="476129D5"/>
    <w:rsid w:val="48EF7A72"/>
    <w:rsid w:val="49FA24FE"/>
    <w:rsid w:val="4B48647C"/>
    <w:rsid w:val="4D03364C"/>
    <w:rsid w:val="4D160EFC"/>
    <w:rsid w:val="4E97263A"/>
    <w:rsid w:val="50851EF4"/>
    <w:rsid w:val="51F61C04"/>
    <w:rsid w:val="53746D1D"/>
    <w:rsid w:val="551F1AD3"/>
    <w:rsid w:val="55CA48D5"/>
    <w:rsid w:val="57006BA1"/>
    <w:rsid w:val="57D93D89"/>
    <w:rsid w:val="5CA95708"/>
    <w:rsid w:val="5CE860A3"/>
    <w:rsid w:val="5D201440"/>
    <w:rsid w:val="5DAC4188"/>
    <w:rsid w:val="5DE74090"/>
    <w:rsid w:val="6015795B"/>
    <w:rsid w:val="60AC302E"/>
    <w:rsid w:val="61087E26"/>
    <w:rsid w:val="64052BF6"/>
    <w:rsid w:val="658B1BFB"/>
    <w:rsid w:val="664264AE"/>
    <w:rsid w:val="66966C6B"/>
    <w:rsid w:val="6735657C"/>
    <w:rsid w:val="678B6CAB"/>
    <w:rsid w:val="67A83750"/>
    <w:rsid w:val="682F6D20"/>
    <w:rsid w:val="68F20AD9"/>
    <w:rsid w:val="69885C17"/>
    <w:rsid w:val="6A8144D5"/>
    <w:rsid w:val="6B7C571A"/>
    <w:rsid w:val="6C67371B"/>
    <w:rsid w:val="6D800F2C"/>
    <w:rsid w:val="6F291EA9"/>
    <w:rsid w:val="6FE26D19"/>
    <w:rsid w:val="70713D71"/>
    <w:rsid w:val="70D4548B"/>
    <w:rsid w:val="71EF4234"/>
    <w:rsid w:val="71FF0F7D"/>
    <w:rsid w:val="73A001F1"/>
    <w:rsid w:val="741C4C2C"/>
    <w:rsid w:val="74B6452E"/>
    <w:rsid w:val="753217D6"/>
    <w:rsid w:val="76A3768D"/>
    <w:rsid w:val="78050629"/>
    <w:rsid w:val="783A1613"/>
    <w:rsid w:val="78FB3E2A"/>
    <w:rsid w:val="7AAE4BA6"/>
    <w:rsid w:val="7B2F4878"/>
    <w:rsid w:val="7BB35EC1"/>
    <w:rsid w:val="7D6708DB"/>
    <w:rsid w:val="7EA21B3B"/>
    <w:rsid w:val="7F7A1D8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6</Pages>
  <Words>2395</Words>
  <Characters>2801</Characters>
  <Lines>21</Lines>
  <Paragraphs>5</Paragraphs>
  <TotalTime>2</TotalTime>
  <ScaleCrop>false</ScaleCrop>
  <LinksUpToDate>false</LinksUpToDate>
  <CharactersWithSpaces>2848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Ceezy.</cp:lastModifiedBy>
  <cp:lastPrinted>2024-05-22T07:10:00Z</cp:lastPrinted>
  <dcterms:modified xsi:type="dcterms:W3CDTF">2024-06-03T03:05:14Z</dcterms:modified>
  <dc:title>南京中医药大学专业技术职务评审资格审查表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ies>
</file>